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F1482">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6" w:lineRule="exact"/>
        <w:textAlignment w:val="auto"/>
        <w:rPr>
          <w:rFonts w:hint="default" w:ascii="黑体" w:hAnsi="黑体" w:eastAsia="黑体" w:cs="黑体"/>
          <w:b w:val="0"/>
          <w:bCs/>
          <w:i w:val="0"/>
          <w:iCs w:val="0"/>
          <w:caps w:val="0"/>
          <w:color w:val="000000"/>
          <w:spacing w:val="0"/>
          <w:sz w:val="32"/>
          <w:szCs w:val="32"/>
          <w:lang w:val="en-US" w:eastAsia="zh-CN"/>
        </w:rPr>
      </w:pPr>
      <w:r>
        <w:rPr>
          <w:rStyle w:val="11"/>
          <w:rFonts w:hint="eastAsia" w:ascii="黑体" w:hAnsi="黑体" w:eastAsia="黑体" w:cs="黑体"/>
          <w:b w:val="0"/>
          <w:bCs/>
          <w:i w:val="0"/>
          <w:iCs w:val="0"/>
          <w:caps w:val="0"/>
          <w:color w:val="000000"/>
          <w:spacing w:val="0"/>
          <w:sz w:val="32"/>
          <w:szCs w:val="32"/>
          <w:shd w:val="clear" w:fill="FFFFFF"/>
        </w:rPr>
        <w:t>附件</w:t>
      </w:r>
      <w:r>
        <w:rPr>
          <w:rStyle w:val="11"/>
          <w:rFonts w:hint="eastAsia" w:ascii="黑体" w:hAnsi="黑体" w:eastAsia="黑体" w:cs="黑体"/>
          <w:b w:val="0"/>
          <w:bCs/>
          <w:i w:val="0"/>
          <w:iCs w:val="0"/>
          <w:caps w:val="0"/>
          <w:color w:val="000000"/>
          <w:spacing w:val="0"/>
          <w:sz w:val="32"/>
          <w:szCs w:val="32"/>
          <w:shd w:val="clear" w:fill="FFFFFF"/>
          <w:lang w:val="en-US" w:eastAsia="zh-CN"/>
        </w:rPr>
        <w:t>1</w:t>
      </w:r>
    </w:p>
    <w:p w14:paraId="363A634A">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6" w:lineRule="exact"/>
        <w:ind w:left="0" w:firstLine="0"/>
        <w:jc w:val="center"/>
        <w:textAlignment w:val="auto"/>
        <w:rPr>
          <w:rFonts w:hint="default" w:ascii="����" w:hAnsi="����" w:eastAsia="����" w:cs="����"/>
          <w:i w:val="0"/>
          <w:iCs w:val="0"/>
          <w:caps w:val="0"/>
          <w:color w:val="000000"/>
          <w:spacing w:val="0"/>
          <w:sz w:val="32"/>
          <w:szCs w:val="32"/>
        </w:rPr>
      </w:pPr>
      <w:r>
        <w:rPr>
          <w:rStyle w:val="11"/>
          <w:rFonts w:hint="eastAsia" w:ascii="宋体" w:hAnsi="宋体" w:eastAsia="宋体" w:cs="宋体"/>
          <w:b/>
          <w:bCs w:val="0"/>
          <w:i w:val="0"/>
          <w:iCs w:val="0"/>
          <w:caps w:val="0"/>
          <w:color w:val="000000"/>
          <w:spacing w:val="0"/>
          <w:sz w:val="52"/>
          <w:szCs w:val="52"/>
          <w:shd w:val="clear" w:fill="FFFFFF"/>
        </w:rPr>
        <w:t>采购需求</w:t>
      </w:r>
      <w:r>
        <w:rPr>
          <w:rStyle w:val="11"/>
          <w:rFonts w:hint="eastAsia" w:ascii="仿宋" w:hAnsi="仿宋" w:eastAsia="仿宋" w:cs="仿宋"/>
          <w:i w:val="0"/>
          <w:iCs w:val="0"/>
          <w:caps w:val="0"/>
          <w:color w:val="000000"/>
          <w:spacing w:val="0"/>
          <w:sz w:val="32"/>
          <w:szCs w:val="32"/>
          <w:shd w:val="clear" w:fill="FFFFFF"/>
        </w:rPr>
        <w:t> </w:t>
      </w:r>
    </w:p>
    <w:p w14:paraId="133E33D3">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textAlignment w:val="auto"/>
        <w:rPr>
          <w:rFonts w:hint="eastAsia" w:ascii="仿宋" w:hAnsi="仿宋" w:eastAsia="仿宋" w:cs="仿宋"/>
          <w:i w:val="0"/>
          <w:iCs w:val="0"/>
          <w:caps w:val="0"/>
          <w:color w:val="000000"/>
          <w:spacing w:val="0"/>
          <w:sz w:val="32"/>
          <w:szCs w:val="32"/>
          <w:shd w:val="clear" w:fill="FFFFFF"/>
          <w:lang w:val="en-US" w:eastAsia="zh-CN"/>
        </w:rPr>
      </w:pPr>
    </w:p>
    <w:p w14:paraId="561CFBE5">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default"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一、信息系统运维要求</w:t>
      </w:r>
    </w:p>
    <w:p w14:paraId="3C3E4EC3">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（一）稳定运行保障。保证现用各系统及其功能的完整及正确性，提供现用系统模块技术指导和个性化开发等服务工作，满足医院运营管理的要求。</w:t>
      </w:r>
    </w:p>
    <w:p w14:paraId="28786503">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（二）系统错误修复。信息系统在使用过程中发现的错误及时完成修复。</w:t>
      </w:r>
    </w:p>
    <w:p w14:paraId="2F0D66FF">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（三）系统数据修复。系统使用过程中，因用户误操作等原因导致的数据错误，查明原因和进行数据修复。</w:t>
      </w:r>
    </w:p>
    <w:p w14:paraId="100F1A20">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（四）服务人员。提供维护专项小组，对维护模块中出现的其他问题可以进行远程或现场的支持维护(其中驻场技术人员1人，后台开发2人)。</w:t>
      </w:r>
    </w:p>
    <w:p w14:paraId="226CCC85">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both"/>
        <w:textAlignment w:val="auto"/>
        <w:rPr>
          <w:rFonts w:hint="default"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（五）维护周期：1年。</w:t>
      </w:r>
    </w:p>
    <w:p w14:paraId="4A0F6304">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default"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二、维护功能模块</w:t>
      </w:r>
    </w:p>
    <w:tbl>
      <w:tblPr>
        <w:tblStyle w:val="13"/>
        <w:tblW w:w="506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7"/>
        <w:gridCol w:w="2401"/>
        <w:gridCol w:w="5524"/>
      </w:tblGrid>
      <w:tr w14:paraId="67C92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1028" w:type="dxa"/>
            <w:vAlign w:val="center"/>
          </w:tcPr>
          <w:p w14:paraId="33E2E40A">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黑体" w:hAnsi="黑体" w:eastAsia="黑体" w:cs="黑体"/>
              </w:rPr>
            </w:pPr>
            <w:r>
              <w:rPr>
                <w:rFonts w:hint="eastAsia" w:ascii="黑体" w:hAnsi="黑体" w:eastAsia="黑体" w:cs="黑体"/>
                <w:spacing w:val="9"/>
              </w:rPr>
              <w:t>序号</w:t>
            </w:r>
          </w:p>
        </w:tc>
        <w:tc>
          <w:tcPr>
            <w:tcW w:w="2358" w:type="dxa"/>
            <w:vAlign w:val="center"/>
          </w:tcPr>
          <w:p w14:paraId="22AD9D62">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黑体" w:hAnsi="黑体" w:eastAsia="黑体" w:cs="黑体"/>
              </w:rPr>
            </w:pPr>
            <w:r>
              <w:rPr>
                <w:rFonts w:hint="eastAsia" w:ascii="黑体" w:hAnsi="黑体" w:eastAsia="黑体" w:cs="黑体"/>
                <w:spacing w:val="3"/>
              </w:rPr>
              <w:t>项目系统</w:t>
            </w:r>
          </w:p>
        </w:tc>
        <w:tc>
          <w:tcPr>
            <w:tcW w:w="5421" w:type="dxa"/>
            <w:vAlign w:val="center"/>
          </w:tcPr>
          <w:p w14:paraId="472CF6BD">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黑体" w:hAnsi="黑体" w:eastAsia="黑体" w:cs="黑体"/>
              </w:rPr>
            </w:pPr>
            <w:r>
              <w:rPr>
                <w:rFonts w:hint="eastAsia" w:ascii="黑体" w:hAnsi="黑体" w:eastAsia="黑体" w:cs="黑体"/>
                <w:spacing w:val="3"/>
              </w:rPr>
              <w:t>明细模块</w:t>
            </w:r>
          </w:p>
        </w:tc>
      </w:tr>
      <w:tr w14:paraId="3249F2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7E6B345E">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2358" w:type="dxa"/>
            <w:vMerge w:val="restart"/>
            <w:vAlign w:val="center"/>
          </w:tcPr>
          <w:p w14:paraId="10E62590">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2"/>
                <w:sz w:val="24"/>
                <w:szCs w:val="24"/>
              </w:rPr>
              <w:t>妇幼保健系统</w:t>
            </w:r>
          </w:p>
        </w:tc>
        <w:tc>
          <w:tcPr>
            <w:tcW w:w="5421" w:type="dxa"/>
            <w:vAlign w:val="top"/>
          </w:tcPr>
          <w:p w14:paraId="27A591C1">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2"/>
                <w:sz w:val="24"/>
                <w:szCs w:val="24"/>
              </w:rPr>
              <w:t>妇幼保健信息系统基础平台</w:t>
            </w:r>
          </w:p>
        </w:tc>
      </w:tr>
      <w:tr w14:paraId="08A601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103129A8">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2358" w:type="dxa"/>
            <w:vMerge w:val="continue"/>
            <w:vAlign w:val="top"/>
          </w:tcPr>
          <w:p w14:paraId="1BB8E6C2">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12211C61">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妇幼儿童基础档案管理子系统</w:t>
            </w:r>
          </w:p>
        </w:tc>
      </w:tr>
      <w:tr w14:paraId="14C774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7F451DFE">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3</w:t>
            </w:r>
          </w:p>
        </w:tc>
        <w:tc>
          <w:tcPr>
            <w:tcW w:w="2358" w:type="dxa"/>
            <w:vMerge w:val="continue"/>
            <w:vAlign w:val="top"/>
          </w:tcPr>
          <w:p w14:paraId="162A5AE6">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4F21BBAA">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新生儿访视管理子系统</w:t>
            </w:r>
          </w:p>
        </w:tc>
      </w:tr>
      <w:tr w14:paraId="789652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18851BDE">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2358" w:type="dxa"/>
            <w:vMerge w:val="continue"/>
            <w:vAlign w:val="top"/>
          </w:tcPr>
          <w:p w14:paraId="3BBA49A7">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4AEC7070">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体弱儿/高危儿管理子系统</w:t>
            </w:r>
          </w:p>
        </w:tc>
      </w:tr>
      <w:tr w14:paraId="6C4C0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5EB847CB">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5</w:t>
            </w:r>
          </w:p>
        </w:tc>
        <w:tc>
          <w:tcPr>
            <w:tcW w:w="2358" w:type="dxa"/>
            <w:vMerge w:val="continue"/>
            <w:vAlign w:val="top"/>
          </w:tcPr>
          <w:p w14:paraId="54ED64F9">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374BFEDA">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儿童健康体检服务子系统</w:t>
            </w:r>
          </w:p>
        </w:tc>
      </w:tr>
      <w:tr w14:paraId="59D98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4D942E43">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6</w:t>
            </w:r>
          </w:p>
        </w:tc>
        <w:tc>
          <w:tcPr>
            <w:tcW w:w="2358" w:type="dxa"/>
            <w:vMerge w:val="continue"/>
            <w:vAlign w:val="top"/>
          </w:tcPr>
          <w:p w14:paraId="596B8183">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26361F0B">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孕前优生健康检查管理子系统</w:t>
            </w:r>
          </w:p>
        </w:tc>
      </w:tr>
      <w:tr w14:paraId="41226C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4E6DAC24">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7</w:t>
            </w:r>
          </w:p>
        </w:tc>
        <w:tc>
          <w:tcPr>
            <w:tcW w:w="2358" w:type="dxa"/>
            <w:vMerge w:val="continue"/>
            <w:vAlign w:val="top"/>
          </w:tcPr>
          <w:p w14:paraId="2A0E5532">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61B3CDA6">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孕产期保健服务子系统</w:t>
            </w:r>
          </w:p>
        </w:tc>
      </w:tr>
      <w:tr w14:paraId="37CA1D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71C7EBE1">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8</w:t>
            </w:r>
          </w:p>
        </w:tc>
        <w:tc>
          <w:tcPr>
            <w:tcW w:w="2358" w:type="dxa"/>
            <w:vMerge w:val="continue"/>
            <w:vAlign w:val="top"/>
          </w:tcPr>
          <w:p w14:paraId="1B090900">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2F64D1F2">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产时保健服务子系统</w:t>
            </w:r>
          </w:p>
        </w:tc>
      </w:tr>
      <w:tr w14:paraId="0E87C9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1F3AB5AE">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z w:val="24"/>
                <w:szCs w:val="24"/>
              </w:rPr>
              <w:t>9</w:t>
            </w:r>
          </w:p>
        </w:tc>
        <w:tc>
          <w:tcPr>
            <w:tcW w:w="2358" w:type="dxa"/>
            <w:vMerge w:val="continue"/>
            <w:vAlign w:val="top"/>
          </w:tcPr>
          <w:p w14:paraId="47402637">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1BA0ED5F">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产妇访视管理子系统</w:t>
            </w:r>
          </w:p>
        </w:tc>
      </w:tr>
      <w:tr w14:paraId="593E5E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55C704D0">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10"/>
                <w:sz w:val="24"/>
                <w:szCs w:val="24"/>
              </w:rPr>
              <w:t>10</w:t>
            </w:r>
          </w:p>
        </w:tc>
        <w:tc>
          <w:tcPr>
            <w:tcW w:w="2358" w:type="dxa"/>
            <w:vMerge w:val="continue"/>
            <w:vAlign w:val="top"/>
          </w:tcPr>
          <w:p w14:paraId="3ECEA5C9">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577F9D0F">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产后42天检查管理子系统</w:t>
            </w:r>
          </w:p>
        </w:tc>
      </w:tr>
      <w:tr w14:paraId="5EDDC8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0FBF5904">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10"/>
                <w:sz w:val="24"/>
                <w:szCs w:val="24"/>
              </w:rPr>
              <w:t>11</w:t>
            </w:r>
          </w:p>
        </w:tc>
        <w:tc>
          <w:tcPr>
            <w:tcW w:w="2358" w:type="dxa"/>
            <w:vMerge w:val="continue"/>
            <w:vAlign w:val="top"/>
          </w:tcPr>
          <w:p w14:paraId="66FEC1EF">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73E5B4BB">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高危孕产妇管理子系统</w:t>
            </w:r>
          </w:p>
        </w:tc>
      </w:tr>
      <w:tr w14:paraId="7B610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40600D5F">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10"/>
                <w:sz w:val="24"/>
                <w:szCs w:val="24"/>
              </w:rPr>
              <w:t>12</w:t>
            </w:r>
          </w:p>
        </w:tc>
        <w:tc>
          <w:tcPr>
            <w:tcW w:w="2358" w:type="dxa"/>
            <w:vMerge w:val="continue"/>
            <w:vAlign w:val="top"/>
          </w:tcPr>
          <w:p w14:paraId="46D29EE9">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6483B3C6">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产前筛查管理子系统</w:t>
            </w:r>
          </w:p>
        </w:tc>
      </w:tr>
      <w:tr w14:paraId="19C86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2C27AF16">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10"/>
                <w:sz w:val="24"/>
                <w:szCs w:val="24"/>
              </w:rPr>
              <w:t>13</w:t>
            </w:r>
          </w:p>
        </w:tc>
        <w:tc>
          <w:tcPr>
            <w:tcW w:w="2358" w:type="dxa"/>
            <w:vMerge w:val="continue"/>
            <w:vAlign w:val="top"/>
          </w:tcPr>
          <w:p w14:paraId="02C61CA9">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2C7ED1EB">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产前诊断管理子系统</w:t>
            </w:r>
          </w:p>
        </w:tc>
      </w:tr>
      <w:tr w14:paraId="7FB93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23B1FCCF">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10"/>
                <w:sz w:val="24"/>
                <w:szCs w:val="24"/>
              </w:rPr>
              <w:t>14</w:t>
            </w:r>
          </w:p>
        </w:tc>
        <w:tc>
          <w:tcPr>
            <w:tcW w:w="2358" w:type="dxa"/>
            <w:vMerge w:val="continue"/>
            <w:vAlign w:val="top"/>
          </w:tcPr>
          <w:p w14:paraId="44D44027">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611DAD62">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预防艾滋病梅毒乙肝母婴传播信息登</w:t>
            </w:r>
            <w:r>
              <w:rPr>
                <w:rFonts w:hint="eastAsia" w:ascii="仿宋" w:hAnsi="仿宋" w:eastAsia="仿宋" w:cs="仿宋"/>
                <w:spacing w:val="3"/>
                <w:sz w:val="24"/>
                <w:szCs w:val="24"/>
              </w:rPr>
              <w:t>记报告系统</w:t>
            </w:r>
          </w:p>
        </w:tc>
      </w:tr>
      <w:tr w14:paraId="3DD53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5555CE4B">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10"/>
                <w:sz w:val="24"/>
                <w:szCs w:val="24"/>
              </w:rPr>
              <w:t>15</w:t>
            </w:r>
          </w:p>
        </w:tc>
        <w:tc>
          <w:tcPr>
            <w:tcW w:w="2358" w:type="dxa"/>
            <w:vMerge w:val="continue"/>
            <w:vAlign w:val="top"/>
          </w:tcPr>
          <w:p w14:paraId="7F53E047">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0D850EC8">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地贫筛查登记与转诊管理子系统</w:t>
            </w:r>
          </w:p>
        </w:tc>
      </w:tr>
      <w:tr w14:paraId="1E5FDE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257F3002">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10"/>
                <w:sz w:val="24"/>
                <w:szCs w:val="24"/>
              </w:rPr>
              <w:t>16</w:t>
            </w:r>
          </w:p>
        </w:tc>
        <w:tc>
          <w:tcPr>
            <w:tcW w:w="2358" w:type="dxa"/>
            <w:vMerge w:val="continue"/>
            <w:vAlign w:val="top"/>
          </w:tcPr>
          <w:p w14:paraId="0B3FF067">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14AED09A">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地贫基因检测与诊断管理子系统</w:t>
            </w:r>
          </w:p>
        </w:tc>
      </w:tr>
      <w:tr w14:paraId="55D45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0E007E89">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10"/>
                <w:sz w:val="24"/>
                <w:szCs w:val="24"/>
              </w:rPr>
              <w:t>17</w:t>
            </w:r>
          </w:p>
        </w:tc>
        <w:tc>
          <w:tcPr>
            <w:tcW w:w="2358" w:type="dxa"/>
            <w:vMerge w:val="continue"/>
            <w:vAlign w:val="top"/>
          </w:tcPr>
          <w:p w14:paraId="63D5C5B9">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3C11305C">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地贫产前诊断管理子系统</w:t>
            </w:r>
          </w:p>
        </w:tc>
      </w:tr>
      <w:tr w14:paraId="3BAE0C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vAlign w:val="center"/>
          </w:tcPr>
          <w:p w14:paraId="22F640C4">
            <w:pPr>
              <w:pStyle w:val="12"/>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10"/>
                <w:sz w:val="24"/>
                <w:szCs w:val="24"/>
              </w:rPr>
              <w:t>18</w:t>
            </w:r>
          </w:p>
        </w:tc>
        <w:tc>
          <w:tcPr>
            <w:tcW w:w="2358" w:type="dxa"/>
            <w:vMerge w:val="continue"/>
            <w:vAlign w:val="top"/>
          </w:tcPr>
          <w:p w14:paraId="5FD09A63">
            <w:pPr>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p>
        </w:tc>
        <w:tc>
          <w:tcPr>
            <w:tcW w:w="5421" w:type="dxa"/>
            <w:vAlign w:val="top"/>
          </w:tcPr>
          <w:p w14:paraId="3D67B133">
            <w:pPr>
              <w:pStyle w:val="12"/>
              <w:keepNext w:val="0"/>
              <w:keepLines w:val="0"/>
              <w:pageBreakBefore w:val="0"/>
              <w:widowControl w:val="0"/>
              <w:kinsoku/>
              <w:wordWrap/>
              <w:overflowPunct/>
              <w:topLinePunct w:val="0"/>
              <w:autoSpaceDE/>
              <w:autoSpaceDN/>
              <w:bidi w:val="0"/>
              <w:adjustRightInd/>
              <w:snapToGrid/>
              <w:spacing w:line="300" w:lineRule="exact"/>
              <w:ind w:left="0" w:right="0"/>
              <w:textAlignment w:val="auto"/>
              <w:rPr>
                <w:rFonts w:hint="eastAsia" w:ascii="仿宋" w:hAnsi="仿宋" w:eastAsia="仿宋" w:cs="仿宋"/>
                <w:sz w:val="24"/>
                <w:szCs w:val="24"/>
              </w:rPr>
            </w:pPr>
            <w:r>
              <w:rPr>
                <w:rFonts w:hint="eastAsia" w:ascii="仿宋" w:hAnsi="仿宋" w:eastAsia="仿宋" w:cs="仿宋"/>
                <w:spacing w:val="1"/>
                <w:sz w:val="24"/>
                <w:szCs w:val="24"/>
              </w:rPr>
              <w:t>地贫追访管理子系统</w:t>
            </w:r>
          </w:p>
        </w:tc>
      </w:tr>
      <w:tr w14:paraId="6FFB4E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245D5E82">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0"/>
                <w:sz w:val="24"/>
                <w:szCs w:val="24"/>
              </w:rPr>
              <w:t>19</w:t>
            </w:r>
          </w:p>
        </w:tc>
        <w:tc>
          <w:tcPr>
            <w:tcW w:w="2358" w:type="dxa"/>
            <w:vMerge w:val="continue"/>
            <w:vAlign w:val="center"/>
          </w:tcPr>
          <w:p w14:paraId="5AD751C6">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42594BE0">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z w:val="24"/>
                <w:szCs w:val="24"/>
              </w:rPr>
              <w:t>地贫筛查和诊断实验室管理子系统</w:t>
            </w:r>
          </w:p>
        </w:tc>
      </w:tr>
      <w:tr w14:paraId="5513A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3033C656">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20</w:t>
            </w:r>
          </w:p>
        </w:tc>
        <w:tc>
          <w:tcPr>
            <w:tcW w:w="2358" w:type="dxa"/>
            <w:vMerge w:val="continue"/>
            <w:vAlign w:val="center"/>
          </w:tcPr>
          <w:p w14:paraId="6251ED42">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49B43B53">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地中海贫血监测与干预信息系统</w:t>
            </w:r>
          </w:p>
        </w:tc>
      </w:tr>
      <w:tr w14:paraId="32783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58D386AE">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21</w:t>
            </w:r>
          </w:p>
        </w:tc>
        <w:tc>
          <w:tcPr>
            <w:tcW w:w="2358" w:type="dxa"/>
            <w:vMerge w:val="continue"/>
            <w:vAlign w:val="center"/>
          </w:tcPr>
          <w:p w14:paraId="4C8A8FA2">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56BC82C3">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妇幼卫生统计分析报表</w:t>
            </w:r>
          </w:p>
        </w:tc>
      </w:tr>
      <w:tr w14:paraId="63D35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28488DF4">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22</w:t>
            </w:r>
          </w:p>
        </w:tc>
        <w:tc>
          <w:tcPr>
            <w:tcW w:w="2358" w:type="dxa"/>
            <w:vMerge w:val="continue"/>
            <w:vAlign w:val="center"/>
          </w:tcPr>
          <w:p w14:paraId="582E2252">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27057A97">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出生缺陷监测直报管理子系统</w:t>
            </w:r>
          </w:p>
        </w:tc>
      </w:tr>
      <w:tr w14:paraId="0D05D9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01315235">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23</w:t>
            </w:r>
          </w:p>
        </w:tc>
        <w:tc>
          <w:tcPr>
            <w:tcW w:w="2358" w:type="dxa"/>
            <w:vMerge w:val="continue"/>
            <w:vAlign w:val="center"/>
          </w:tcPr>
          <w:p w14:paraId="4E7A0619">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5F8B385C">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z w:val="24"/>
                <w:szCs w:val="24"/>
              </w:rPr>
              <w:t>五岁以下儿童死亡报告管理子系统</w:t>
            </w:r>
          </w:p>
        </w:tc>
      </w:tr>
      <w:tr w14:paraId="6E3615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21377EC6">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24</w:t>
            </w:r>
          </w:p>
        </w:tc>
        <w:tc>
          <w:tcPr>
            <w:tcW w:w="2358" w:type="dxa"/>
            <w:vMerge w:val="continue"/>
            <w:vAlign w:val="center"/>
          </w:tcPr>
          <w:p w14:paraId="64C32938">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38567D7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孕产妇死亡报告管理子系统</w:t>
            </w:r>
          </w:p>
        </w:tc>
      </w:tr>
      <w:tr w14:paraId="4A6A8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6BD748FE">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25</w:t>
            </w:r>
          </w:p>
        </w:tc>
        <w:tc>
          <w:tcPr>
            <w:tcW w:w="2358" w:type="dxa"/>
            <w:vMerge w:val="continue"/>
            <w:vAlign w:val="center"/>
          </w:tcPr>
          <w:p w14:paraId="2A88506D">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5603BD8D">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地中海贫血防控管理统计报表</w:t>
            </w:r>
          </w:p>
        </w:tc>
      </w:tr>
      <w:tr w14:paraId="27933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73036412">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26</w:t>
            </w:r>
          </w:p>
        </w:tc>
        <w:tc>
          <w:tcPr>
            <w:tcW w:w="2358" w:type="dxa"/>
            <w:vMerge w:val="continue"/>
            <w:vAlign w:val="center"/>
          </w:tcPr>
          <w:p w14:paraId="4F795A4F">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5E621C48">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rightChars="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院内妇幼系统与院内</w:t>
            </w:r>
            <w:r>
              <w:rPr>
                <w:rFonts w:hint="eastAsia" w:ascii="仿宋" w:hAnsi="仿宋" w:eastAsia="仿宋" w:cs="仿宋"/>
                <w:sz w:val="24"/>
                <w:szCs w:val="24"/>
              </w:rPr>
              <w:t>HIS</w:t>
            </w:r>
            <w:r>
              <w:rPr>
                <w:rFonts w:hint="eastAsia" w:ascii="仿宋" w:hAnsi="仿宋" w:eastAsia="仿宋" w:cs="仿宋"/>
                <w:spacing w:val="1"/>
                <w:sz w:val="24"/>
                <w:szCs w:val="24"/>
              </w:rPr>
              <w:t>系统的信息</w:t>
            </w:r>
            <w:r>
              <w:rPr>
                <w:rFonts w:hint="eastAsia" w:ascii="仿宋" w:hAnsi="仿宋" w:eastAsia="仿宋" w:cs="仿宋"/>
                <w:spacing w:val="11"/>
                <w:sz w:val="24"/>
                <w:szCs w:val="24"/>
              </w:rPr>
              <w:t>共享接口</w:t>
            </w:r>
          </w:p>
        </w:tc>
      </w:tr>
      <w:tr w14:paraId="1B045C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02937C15">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27</w:t>
            </w:r>
          </w:p>
        </w:tc>
        <w:tc>
          <w:tcPr>
            <w:tcW w:w="2358" w:type="dxa"/>
            <w:vMerge w:val="continue"/>
            <w:vAlign w:val="center"/>
          </w:tcPr>
          <w:p w14:paraId="7EF82528">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7A5B5A18">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rightChars="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院内妇幼系统与院内</w:t>
            </w:r>
            <w:r>
              <w:rPr>
                <w:rFonts w:hint="eastAsia" w:ascii="仿宋" w:hAnsi="仿宋" w:eastAsia="仿宋" w:cs="仿宋"/>
                <w:sz w:val="24"/>
                <w:szCs w:val="24"/>
              </w:rPr>
              <w:t>LIS</w:t>
            </w:r>
            <w:r>
              <w:rPr>
                <w:rFonts w:hint="eastAsia" w:ascii="仿宋" w:hAnsi="仿宋" w:eastAsia="仿宋" w:cs="仿宋"/>
                <w:spacing w:val="1"/>
                <w:sz w:val="24"/>
                <w:szCs w:val="24"/>
              </w:rPr>
              <w:t>系统的信息</w:t>
            </w:r>
            <w:r>
              <w:rPr>
                <w:rFonts w:hint="eastAsia" w:ascii="仿宋" w:hAnsi="仿宋" w:eastAsia="仿宋" w:cs="仿宋"/>
                <w:spacing w:val="11"/>
                <w:sz w:val="24"/>
                <w:szCs w:val="24"/>
              </w:rPr>
              <w:t>共享接口</w:t>
            </w:r>
          </w:p>
        </w:tc>
      </w:tr>
      <w:tr w14:paraId="375E7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686F052E">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28</w:t>
            </w:r>
          </w:p>
        </w:tc>
        <w:tc>
          <w:tcPr>
            <w:tcW w:w="2358" w:type="dxa"/>
            <w:vMerge w:val="continue"/>
            <w:tcBorders>
              <w:bottom w:val="single" w:color="auto" w:sz="4" w:space="0"/>
            </w:tcBorders>
            <w:vAlign w:val="center"/>
          </w:tcPr>
          <w:p w14:paraId="612209AB">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0929587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rightChars="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z w:val="24"/>
                <w:szCs w:val="24"/>
              </w:rPr>
              <w:t>地中海贫血、出生缺陷防控数据对接</w:t>
            </w:r>
            <w:r>
              <w:rPr>
                <w:rFonts w:hint="eastAsia" w:ascii="仿宋" w:hAnsi="仿宋" w:eastAsia="仿宋" w:cs="仿宋"/>
                <w:spacing w:val="9"/>
                <w:sz w:val="24"/>
                <w:szCs w:val="24"/>
              </w:rPr>
              <w:t>省平台接口</w:t>
            </w:r>
          </w:p>
        </w:tc>
      </w:tr>
      <w:tr w14:paraId="5783B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22E6B845">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29</w:t>
            </w:r>
          </w:p>
        </w:tc>
        <w:tc>
          <w:tcPr>
            <w:tcW w:w="2358" w:type="dxa"/>
            <w:vMerge w:val="restart"/>
            <w:tcBorders>
              <w:top w:val="single" w:color="auto" w:sz="4" w:space="0"/>
            </w:tcBorders>
            <w:vAlign w:val="center"/>
          </w:tcPr>
          <w:p w14:paraId="014C0F8B">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3"/>
                <w:sz w:val="24"/>
                <w:szCs w:val="24"/>
              </w:rPr>
              <w:t>结构化电子病</w:t>
            </w:r>
            <w:r>
              <w:rPr>
                <w:rFonts w:hint="eastAsia" w:ascii="仿宋" w:hAnsi="仿宋" w:eastAsia="仿宋" w:cs="仿宋"/>
                <w:spacing w:val="5"/>
                <w:sz w:val="24"/>
                <w:szCs w:val="24"/>
              </w:rPr>
              <w:t>历系统</w:t>
            </w:r>
          </w:p>
        </w:tc>
        <w:tc>
          <w:tcPr>
            <w:tcW w:w="5421" w:type="dxa"/>
            <w:shd w:val="clear" w:color="auto" w:fill="auto"/>
            <w:vAlign w:val="center"/>
          </w:tcPr>
          <w:p w14:paraId="19765210">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门诊结构化电子病历</w:t>
            </w:r>
          </w:p>
        </w:tc>
      </w:tr>
      <w:tr w14:paraId="45233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5B758AD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30</w:t>
            </w:r>
          </w:p>
        </w:tc>
        <w:tc>
          <w:tcPr>
            <w:tcW w:w="2358" w:type="dxa"/>
            <w:vMerge w:val="continue"/>
            <w:vAlign w:val="center"/>
          </w:tcPr>
          <w:p w14:paraId="65DC4232">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309456AC">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住院结构化电子病历</w:t>
            </w:r>
          </w:p>
        </w:tc>
      </w:tr>
      <w:tr w14:paraId="459B4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1C19543C">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31</w:t>
            </w:r>
          </w:p>
        </w:tc>
        <w:tc>
          <w:tcPr>
            <w:tcW w:w="2358" w:type="dxa"/>
            <w:vMerge w:val="continue"/>
            <w:vAlign w:val="center"/>
          </w:tcPr>
          <w:p w14:paraId="5487A2F7">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0C0EE50D">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结构化护理电子病历</w:t>
            </w:r>
          </w:p>
        </w:tc>
      </w:tr>
      <w:tr w14:paraId="4F057B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7001769A">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32</w:t>
            </w:r>
          </w:p>
        </w:tc>
        <w:tc>
          <w:tcPr>
            <w:tcW w:w="2358" w:type="dxa"/>
            <w:shd w:val="clear" w:color="auto" w:fill="auto"/>
            <w:vAlign w:val="center"/>
          </w:tcPr>
          <w:p w14:paraId="1A347731">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病历质控系统</w:t>
            </w:r>
          </w:p>
        </w:tc>
        <w:tc>
          <w:tcPr>
            <w:tcW w:w="5421" w:type="dxa"/>
            <w:shd w:val="clear" w:color="auto" w:fill="auto"/>
            <w:vAlign w:val="center"/>
          </w:tcPr>
          <w:p w14:paraId="189148C5">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病历质控系统</w:t>
            </w:r>
          </w:p>
        </w:tc>
      </w:tr>
      <w:tr w14:paraId="207754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113E4BE6">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default" w:ascii="仿宋" w:hAnsi="仿宋" w:eastAsia="仿宋" w:cs="仿宋"/>
                <w:spacing w:val="-5"/>
                <w:sz w:val="24"/>
                <w:szCs w:val="24"/>
                <w:lang w:val="en-US" w:eastAsia="zh-CN"/>
              </w:rPr>
            </w:pPr>
            <w:r>
              <w:rPr>
                <w:rFonts w:hint="eastAsia" w:ascii="仿宋" w:hAnsi="仿宋" w:eastAsia="仿宋" w:cs="仿宋"/>
                <w:spacing w:val="-5"/>
                <w:sz w:val="24"/>
                <w:szCs w:val="24"/>
                <w:lang w:val="en-US" w:eastAsia="zh-CN"/>
              </w:rPr>
              <w:t>33</w:t>
            </w:r>
          </w:p>
        </w:tc>
        <w:tc>
          <w:tcPr>
            <w:tcW w:w="2358" w:type="dxa"/>
            <w:shd w:val="clear" w:color="auto" w:fill="auto"/>
            <w:vAlign w:val="center"/>
          </w:tcPr>
          <w:p w14:paraId="676E59F7">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spacing w:val="2"/>
                <w:sz w:val="24"/>
                <w:szCs w:val="24"/>
              </w:rPr>
            </w:pPr>
            <w:r>
              <w:rPr>
                <w:rFonts w:hint="eastAsia" w:ascii="仿宋" w:hAnsi="仿宋" w:eastAsia="仿宋" w:cs="仿宋"/>
                <w:spacing w:val="2"/>
                <w:sz w:val="24"/>
                <w:szCs w:val="24"/>
              </w:rPr>
              <w:t>住院临床路径系统</w:t>
            </w:r>
          </w:p>
        </w:tc>
        <w:tc>
          <w:tcPr>
            <w:tcW w:w="5421" w:type="dxa"/>
            <w:shd w:val="clear" w:color="auto" w:fill="auto"/>
            <w:vAlign w:val="center"/>
          </w:tcPr>
          <w:p w14:paraId="5940FFEF">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spacing w:val="2"/>
                <w:sz w:val="24"/>
                <w:szCs w:val="24"/>
              </w:rPr>
            </w:pPr>
            <w:r>
              <w:rPr>
                <w:rFonts w:hint="eastAsia" w:ascii="仿宋" w:hAnsi="仿宋" w:eastAsia="仿宋" w:cs="仿宋"/>
                <w:spacing w:val="1"/>
                <w:sz w:val="24"/>
                <w:szCs w:val="24"/>
              </w:rPr>
              <w:t>住院临床路径系统</w:t>
            </w:r>
          </w:p>
        </w:tc>
      </w:tr>
      <w:tr w14:paraId="40C80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3F5C3F7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34</w:t>
            </w:r>
          </w:p>
        </w:tc>
        <w:tc>
          <w:tcPr>
            <w:tcW w:w="2358" w:type="dxa"/>
            <w:shd w:val="clear" w:color="auto" w:fill="auto"/>
            <w:vAlign w:val="center"/>
          </w:tcPr>
          <w:p w14:paraId="779E1D85">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3"/>
                <w:sz w:val="24"/>
                <w:szCs w:val="24"/>
              </w:rPr>
              <w:t>院感系统</w:t>
            </w:r>
          </w:p>
        </w:tc>
        <w:tc>
          <w:tcPr>
            <w:tcW w:w="5421" w:type="dxa"/>
            <w:shd w:val="clear" w:color="auto" w:fill="auto"/>
            <w:vAlign w:val="center"/>
          </w:tcPr>
          <w:p w14:paraId="0D417F9F">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3"/>
                <w:sz w:val="24"/>
                <w:szCs w:val="24"/>
              </w:rPr>
              <w:t>院感系统</w:t>
            </w:r>
          </w:p>
        </w:tc>
      </w:tr>
      <w:tr w14:paraId="6769F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2CD12713">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35</w:t>
            </w:r>
          </w:p>
        </w:tc>
        <w:tc>
          <w:tcPr>
            <w:tcW w:w="2358" w:type="dxa"/>
            <w:shd w:val="clear" w:color="auto" w:fill="auto"/>
            <w:vAlign w:val="center"/>
          </w:tcPr>
          <w:p w14:paraId="3A11CED1">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用血申请系统</w:t>
            </w:r>
          </w:p>
        </w:tc>
        <w:tc>
          <w:tcPr>
            <w:tcW w:w="5421" w:type="dxa"/>
            <w:shd w:val="clear" w:color="auto" w:fill="auto"/>
            <w:vAlign w:val="center"/>
          </w:tcPr>
          <w:p w14:paraId="0F489C4B">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用血申请系统</w:t>
            </w:r>
          </w:p>
        </w:tc>
      </w:tr>
      <w:tr w14:paraId="72E9E6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116E471F">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36</w:t>
            </w:r>
          </w:p>
        </w:tc>
        <w:tc>
          <w:tcPr>
            <w:tcW w:w="2358" w:type="dxa"/>
            <w:shd w:val="clear" w:color="auto" w:fill="auto"/>
            <w:vAlign w:val="center"/>
          </w:tcPr>
          <w:p w14:paraId="2A998B0B">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手术麻醉系统</w:t>
            </w:r>
          </w:p>
        </w:tc>
        <w:tc>
          <w:tcPr>
            <w:tcW w:w="5421" w:type="dxa"/>
            <w:shd w:val="clear" w:color="auto" w:fill="auto"/>
            <w:vAlign w:val="center"/>
          </w:tcPr>
          <w:p w14:paraId="029913CB">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手术麻醉系统</w:t>
            </w:r>
          </w:p>
        </w:tc>
      </w:tr>
      <w:tr w14:paraId="6395B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40A1D3CE">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37</w:t>
            </w:r>
          </w:p>
        </w:tc>
        <w:tc>
          <w:tcPr>
            <w:tcW w:w="2358" w:type="dxa"/>
            <w:shd w:val="clear" w:color="auto" w:fill="auto"/>
            <w:vAlign w:val="center"/>
          </w:tcPr>
          <w:p w14:paraId="33F277FB">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rightChars="0" w:hanging="479" w:firstLineChars="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lang w:val="en-US" w:eastAsia="zh-CN"/>
              </w:rPr>
              <w:t xml:space="preserve">    </w:t>
            </w:r>
            <w:r>
              <w:rPr>
                <w:rFonts w:hint="eastAsia" w:ascii="仿宋" w:hAnsi="仿宋" w:eastAsia="仿宋" w:cs="仿宋"/>
                <w:spacing w:val="2"/>
                <w:sz w:val="24"/>
                <w:szCs w:val="24"/>
              </w:rPr>
              <w:t>检验危急值管</w:t>
            </w:r>
            <w:r>
              <w:rPr>
                <w:rFonts w:hint="eastAsia" w:ascii="仿宋" w:hAnsi="仿宋" w:eastAsia="仿宋" w:cs="仿宋"/>
                <w:spacing w:val="5"/>
                <w:sz w:val="24"/>
                <w:szCs w:val="24"/>
              </w:rPr>
              <w:t>理系统</w:t>
            </w:r>
          </w:p>
        </w:tc>
        <w:tc>
          <w:tcPr>
            <w:tcW w:w="5421" w:type="dxa"/>
            <w:shd w:val="clear" w:color="auto" w:fill="auto"/>
            <w:vAlign w:val="center"/>
          </w:tcPr>
          <w:p w14:paraId="250EF598">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检验危急值管理系统</w:t>
            </w:r>
          </w:p>
        </w:tc>
      </w:tr>
      <w:tr w14:paraId="3517CA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2AAA1D8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38</w:t>
            </w:r>
          </w:p>
        </w:tc>
        <w:tc>
          <w:tcPr>
            <w:tcW w:w="2358" w:type="dxa"/>
            <w:shd w:val="clear" w:color="auto" w:fill="auto"/>
            <w:vAlign w:val="center"/>
          </w:tcPr>
          <w:p w14:paraId="475B1B8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移动护理系统</w:t>
            </w:r>
          </w:p>
        </w:tc>
        <w:tc>
          <w:tcPr>
            <w:tcW w:w="5421" w:type="dxa"/>
            <w:shd w:val="clear" w:color="auto" w:fill="auto"/>
            <w:vAlign w:val="center"/>
          </w:tcPr>
          <w:p w14:paraId="6F376ECB">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移动护理系统</w:t>
            </w:r>
          </w:p>
        </w:tc>
      </w:tr>
      <w:tr w14:paraId="407A1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3EA5AA7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5"/>
                <w:sz w:val="24"/>
                <w:szCs w:val="24"/>
              </w:rPr>
              <w:t>39</w:t>
            </w:r>
          </w:p>
        </w:tc>
        <w:tc>
          <w:tcPr>
            <w:tcW w:w="2358" w:type="dxa"/>
            <w:vMerge w:val="restart"/>
            <w:vAlign w:val="center"/>
          </w:tcPr>
          <w:p w14:paraId="0E9CE8E3">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r>
              <w:rPr>
                <w:rFonts w:hint="eastAsia" w:ascii="仿宋" w:hAnsi="仿宋" w:eastAsia="仿宋" w:cs="仿宋"/>
                <w:spacing w:val="2"/>
                <w:sz w:val="24"/>
                <w:szCs w:val="24"/>
              </w:rPr>
              <w:t>合理用药系统</w:t>
            </w:r>
          </w:p>
        </w:tc>
        <w:tc>
          <w:tcPr>
            <w:tcW w:w="5421" w:type="dxa"/>
            <w:shd w:val="clear" w:color="auto" w:fill="auto"/>
            <w:vAlign w:val="center"/>
          </w:tcPr>
          <w:p w14:paraId="2CC196C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合理用药配伍禁忌系统</w:t>
            </w:r>
          </w:p>
        </w:tc>
      </w:tr>
      <w:tr w14:paraId="47012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545AE08B">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3"/>
                <w:sz w:val="24"/>
                <w:szCs w:val="24"/>
              </w:rPr>
              <w:t>40</w:t>
            </w:r>
          </w:p>
        </w:tc>
        <w:tc>
          <w:tcPr>
            <w:tcW w:w="2358" w:type="dxa"/>
            <w:vMerge w:val="continue"/>
            <w:vAlign w:val="center"/>
          </w:tcPr>
          <w:p w14:paraId="365EE294">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0ADF60E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处方点评系统</w:t>
            </w:r>
          </w:p>
        </w:tc>
      </w:tr>
      <w:tr w14:paraId="528D3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2B4500E4">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3"/>
                <w:sz w:val="24"/>
                <w:szCs w:val="24"/>
              </w:rPr>
              <w:t>41</w:t>
            </w:r>
          </w:p>
        </w:tc>
        <w:tc>
          <w:tcPr>
            <w:tcW w:w="2358" w:type="dxa"/>
            <w:vMerge w:val="continue"/>
            <w:vAlign w:val="center"/>
          </w:tcPr>
          <w:p w14:paraId="558C73E1">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337A40D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抗菌药物报表系统</w:t>
            </w:r>
          </w:p>
        </w:tc>
      </w:tr>
      <w:tr w14:paraId="1F2520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3A3937AF">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3"/>
                <w:sz w:val="24"/>
                <w:szCs w:val="24"/>
              </w:rPr>
              <w:t>42</w:t>
            </w:r>
          </w:p>
        </w:tc>
        <w:tc>
          <w:tcPr>
            <w:tcW w:w="2358" w:type="dxa"/>
            <w:vMerge w:val="restart"/>
            <w:shd w:val="clear" w:color="auto" w:fill="auto"/>
            <w:vAlign w:val="center"/>
          </w:tcPr>
          <w:p w14:paraId="3C1D8CEE">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p w14:paraId="2CCCC7B7">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3"/>
                <w:sz w:val="24"/>
                <w:szCs w:val="24"/>
              </w:rPr>
              <w:t>接口</w:t>
            </w:r>
          </w:p>
        </w:tc>
        <w:tc>
          <w:tcPr>
            <w:tcW w:w="5421" w:type="dxa"/>
            <w:shd w:val="clear" w:color="auto" w:fill="auto"/>
            <w:vAlign w:val="center"/>
          </w:tcPr>
          <w:p w14:paraId="3B051380">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江门市妇幼保健系统对接</w:t>
            </w:r>
          </w:p>
        </w:tc>
      </w:tr>
      <w:tr w14:paraId="6F663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616736AC">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3"/>
                <w:sz w:val="24"/>
                <w:szCs w:val="24"/>
              </w:rPr>
              <w:t>43</w:t>
            </w:r>
          </w:p>
        </w:tc>
        <w:tc>
          <w:tcPr>
            <w:tcW w:w="2358" w:type="dxa"/>
            <w:vMerge w:val="continue"/>
            <w:vAlign w:val="center"/>
          </w:tcPr>
          <w:p w14:paraId="715E396C">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522B5F48">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江门市区城平台对接</w:t>
            </w:r>
          </w:p>
        </w:tc>
      </w:tr>
      <w:tr w14:paraId="5D4EDF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7B1250DA">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default" w:ascii="仿宋" w:hAnsi="仿宋" w:eastAsia="仿宋" w:cs="仿宋"/>
                <w:spacing w:val="-3"/>
                <w:sz w:val="24"/>
                <w:szCs w:val="24"/>
                <w:lang w:val="en-US" w:eastAsia="zh-CN"/>
              </w:rPr>
            </w:pPr>
            <w:r>
              <w:rPr>
                <w:rFonts w:hint="eastAsia" w:ascii="仿宋" w:hAnsi="仿宋" w:eastAsia="仿宋" w:cs="仿宋"/>
                <w:spacing w:val="-3"/>
                <w:sz w:val="24"/>
                <w:szCs w:val="24"/>
                <w:lang w:val="en-US" w:eastAsia="zh-CN"/>
              </w:rPr>
              <w:t>44</w:t>
            </w:r>
          </w:p>
        </w:tc>
        <w:tc>
          <w:tcPr>
            <w:tcW w:w="2358" w:type="dxa"/>
            <w:shd w:val="clear" w:color="auto" w:fill="auto"/>
            <w:vAlign w:val="center"/>
          </w:tcPr>
          <w:p w14:paraId="330B9818">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rightChars="0" w:hanging="160" w:firstLineChars="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 xml:space="preserve"> </w:t>
            </w:r>
            <w:r>
              <w:rPr>
                <w:rFonts w:hint="eastAsia" w:ascii="仿宋" w:hAnsi="仿宋" w:eastAsia="仿宋" w:cs="仿宋"/>
                <w:kern w:val="2"/>
                <w:sz w:val="24"/>
                <w:szCs w:val="24"/>
                <w:lang w:val="en-US" w:eastAsia="en-US" w:bidi="ar-SA"/>
              </w:rPr>
              <w:t>消毒供应室追溯</w:t>
            </w:r>
          </w:p>
          <w:p w14:paraId="51633A68">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rightChars="0" w:hanging="160" w:firstLineChars="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en-US" w:bidi="ar-SA"/>
              </w:rPr>
              <w:t>管理系统</w:t>
            </w:r>
          </w:p>
        </w:tc>
        <w:tc>
          <w:tcPr>
            <w:tcW w:w="5421" w:type="dxa"/>
            <w:shd w:val="clear" w:color="auto" w:fill="auto"/>
            <w:vAlign w:val="center"/>
          </w:tcPr>
          <w:p w14:paraId="68DB0FA1">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rightChars="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
                <w:sz w:val="24"/>
                <w:szCs w:val="24"/>
              </w:rPr>
              <w:t>消毒供应室追溯管理系统</w:t>
            </w:r>
          </w:p>
        </w:tc>
      </w:tr>
      <w:tr w14:paraId="42B84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8" w:type="dxa"/>
            <w:shd w:val="clear" w:color="auto" w:fill="auto"/>
            <w:vAlign w:val="center"/>
          </w:tcPr>
          <w:p w14:paraId="7BA23A15">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3"/>
                <w:sz w:val="24"/>
                <w:szCs w:val="24"/>
              </w:rPr>
              <w:t>45</w:t>
            </w:r>
          </w:p>
        </w:tc>
        <w:tc>
          <w:tcPr>
            <w:tcW w:w="2358" w:type="dxa"/>
            <w:vMerge w:val="restart"/>
            <w:shd w:val="clear" w:color="auto" w:fill="auto"/>
            <w:vAlign w:val="center"/>
          </w:tcPr>
          <w:p w14:paraId="7A739896">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80" w:firstLineChars="0"/>
              <w:jc w:val="center"/>
              <w:textAlignment w:val="auto"/>
              <w:rPr>
                <w:rFonts w:hint="eastAsia" w:ascii="仿宋" w:hAnsi="仿宋" w:eastAsia="仿宋" w:cs="仿宋"/>
                <w:spacing w:val="11"/>
                <w:sz w:val="24"/>
                <w:szCs w:val="24"/>
              </w:rPr>
            </w:pPr>
            <w:r>
              <w:rPr>
                <w:rFonts w:hint="eastAsia" w:ascii="仿宋" w:hAnsi="仿宋" w:eastAsia="仿宋" w:cs="仿宋"/>
                <w:spacing w:val="3"/>
                <w:sz w:val="24"/>
                <w:szCs w:val="24"/>
              </w:rPr>
              <w:t>医院综合运营</w:t>
            </w:r>
            <w:r>
              <w:rPr>
                <w:rFonts w:hint="eastAsia" w:ascii="仿宋" w:hAnsi="仿宋" w:eastAsia="仿宋" w:cs="仿宋"/>
                <w:spacing w:val="11"/>
                <w:sz w:val="24"/>
                <w:szCs w:val="24"/>
              </w:rPr>
              <w:t>管理</w:t>
            </w:r>
          </w:p>
          <w:p w14:paraId="7DD9F309">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80" w:firstLineChars="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11"/>
                <w:sz w:val="24"/>
                <w:szCs w:val="24"/>
              </w:rPr>
              <w:t>系统(</w:t>
            </w:r>
            <w:r>
              <w:rPr>
                <w:rFonts w:hint="eastAsia" w:ascii="仿宋" w:hAnsi="仿宋" w:eastAsia="仿宋" w:cs="仿宋"/>
                <w:sz w:val="24"/>
                <w:szCs w:val="24"/>
              </w:rPr>
              <w:t>HRP</w:t>
            </w:r>
            <w:r>
              <w:rPr>
                <w:rFonts w:hint="eastAsia" w:ascii="仿宋" w:hAnsi="仿宋" w:eastAsia="仿宋" w:cs="仿宋"/>
                <w:spacing w:val="11"/>
                <w:sz w:val="24"/>
                <w:szCs w:val="24"/>
              </w:rPr>
              <w:t>)</w:t>
            </w:r>
          </w:p>
        </w:tc>
        <w:tc>
          <w:tcPr>
            <w:tcW w:w="5421" w:type="dxa"/>
            <w:shd w:val="clear" w:color="auto" w:fill="auto"/>
            <w:vAlign w:val="center"/>
          </w:tcPr>
          <w:p w14:paraId="10408D06">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财务管理系统</w:t>
            </w:r>
          </w:p>
        </w:tc>
      </w:tr>
      <w:tr w14:paraId="79E603AA">
        <w:tblPrEx>
          <w:tblCellMar>
            <w:top w:w="0" w:type="dxa"/>
            <w:left w:w="0" w:type="dxa"/>
            <w:bottom w:w="0" w:type="dxa"/>
            <w:right w:w="0" w:type="dxa"/>
          </w:tblCellMar>
        </w:tblPrEx>
        <w:trPr>
          <w:trHeight w:val="397" w:hRule="atLeast"/>
          <w:jc w:val="center"/>
        </w:trPr>
        <w:tc>
          <w:tcPr>
            <w:tcW w:w="1028" w:type="dxa"/>
            <w:shd w:val="clear" w:color="auto" w:fill="auto"/>
            <w:vAlign w:val="center"/>
          </w:tcPr>
          <w:p w14:paraId="0BE45B8A">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center"/>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3"/>
                <w:sz w:val="24"/>
                <w:szCs w:val="24"/>
              </w:rPr>
              <w:t>46</w:t>
            </w:r>
          </w:p>
        </w:tc>
        <w:tc>
          <w:tcPr>
            <w:tcW w:w="2358" w:type="dxa"/>
            <w:vMerge w:val="continue"/>
            <w:vAlign w:val="center"/>
          </w:tcPr>
          <w:p w14:paraId="067B4882">
            <w:pPr>
              <w:keepNext w:val="0"/>
              <w:keepLines w:val="0"/>
              <w:pageBreakBefore w:val="0"/>
              <w:widowControl w:val="0"/>
              <w:kinsoku/>
              <w:wordWrap/>
              <w:overflowPunct/>
              <w:topLinePunct w:val="0"/>
              <w:autoSpaceDE/>
              <w:autoSpaceDN/>
              <w:bidi w:val="0"/>
              <w:adjustRightInd/>
              <w:snapToGrid/>
              <w:spacing w:line="300" w:lineRule="exact"/>
              <w:ind w:left="0" w:right="0"/>
              <w:jc w:val="center"/>
              <w:textAlignment w:val="auto"/>
              <w:rPr>
                <w:rFonts w:hint="eastAsia" w:ascii="仿宋" w:hAnsi="仿宋" w:eastAsia="仿宋" w:cs="仿宋"/>
                <w:sz w:val="24"/>
                <w:szCs w:val="24"/>
              </w:rPr>
            </w:pPr>
          </w:p>
        </w:tc>
        <w:tc>
          <w:tcPr>
            <w:tcW w:w="5421" w:type="dxa"/>
            <w:shd w:val="clear" w:color="auto" w:fill="auto"/>
            <w:vAlign w:val="center"/>
          </w:tcPr>
          <w:p w14:paraId="340AA783">
            <w:pPr>
              <w:pStyle w:val="12"/>
              <w:keepNext w:val="0"/>
              <w:keepLines w:val="0"/>
              <w:pageBreakBefore w:val="0"/>
              <w:widowControl w:val="0"/>
              <w:kinsoku/>
              <w:wordWrap/>
              <w:overflowPunct/>
              <w:topLinePunct w:val="0"/>
              <w:autoSpaceDE/>
              <w:autoSpaceDN/>
              <w:bidi w:val="0"/>
              <w:adjustRightInd/>
              <w:snapToGrid/>
              <w:spacing w:line="300" w:lineRule="exact"/>
              <w:ind w:left="0" w:leftChars="0" w:right="0"/>
              <w:jc w:val="left"/>
              <w:textAlignment w:val="auto"/>
              <w:rPr>
                <w:rFonts w:hint="eastAsia" w:ascii="仿宋" w:hAnsi="仿宋" w:eastAsia="仿宋" w:cs="仿宋"/>
                <w:kern w:val="2"/>
                <w:sz w:val="24"/>
                <w:szCs w:val="24"/>
                <w:lang w:val="en-US" w:eastAsia="en-US" w:bidi="ar-SA"/>
              </w:rPr>
            </w:pPr>
            <w:r>
              <w:rPr>
                <w:rFonts w:hint="eastAsia" w:ascii="仿宋" w:hAnsi="仿宋" w:eastAsia="仿宋" w:cs="仿宋"/>
                <w:spacing w:val="2"/>
                <w:sz w:val="24"/>
                <w:szCs w:val="24"/>
              </w:rPr>
              <w:t>物资管理系统</w:t>
            </w:r>
          </w:p>
        </w:tc>
      </w:tr>
    </w:tbl>
    <w:p w14:paraId="1FBEA0C5">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6" w:lineRule="exact"/>
        <w:ind w:left="0" w:leftChars="0" w:right="0" w:rightChars="0" w:firstLine="640" w:firstLineChars="200"/>
        <w:jc w:val="left"/>
        <w:textAlignment w:val="auto"/>
        <w:rPr>
          <w:rFonts w:hint="eastAsia" w:ascii="仿宋" w:hAnsi="仿宋" w:eastAsia="仿宋" w:cs="仿宋"/>
          <w:i w:val="0"/>
          <w:iCs w:val="0"/>
          <w:caps w:val="0"/>
          <w:color w:val="000000"/>
          <w:spacing w:val="0"/>
          <w:sz w:val="32"/>
          <w:szCs w:val="32"/>
          <w:shd w:val="clear" w:fill="FFFFFF"/>
        </w:rPr>
      </w:pPr>
      <w:r>
        <w:rPr>
          <w:rFonts w:hint="eastAsia" w:ascii="黑体" w:hAnsi="黑体" w:eastAsia="黑体" w:cs="黑体"/>
          <w:i w:val="0"/>
          <w:iCs w:val="0"/>
          <w:caps w:val="0"/>
          <w:color w:val="000000"/>
          <w:spacing w:val="0"/>
          <w:sz w:val="32"/>
          <w:szCs w:val="32"/>
          <w:shd w:val="clear" w:fill="FFFFFF"/>
          <w:lang w:val="en-US" w:eastAsia="zh-CN"/>
        </w:rPr>
        <w:t>三、合同主要条款</w:t>
      </w:r>
    </w:p>
    <w:p w14:paraId="79B64F27">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left"/>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一）付款方式：自合同正式签署并生效之日起，十个工作日内支付合同总金额的30%；项目服务期满半年后，三十个工作日内支付合同总金额的另外30%；项目服务期满后，三十个工作日内支付剩余的合同总金额40%。</w:t>
      </w:r>
    </w:p>
    <w:p w14:paraId="1AD45801">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left"/>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二）需求方责任：定期做好系统数据备份，并对备份数据进行妥善保管；做好网络病毒防范和数据库服务器等设备的安全防范措施；在软件使用过程中发现异常，应及时与供应方取得联系，并记录当前故障现象，便于供应方做出诊断；在供应方进行支持服务时，根据供应方要求，指定配合工作的人员，提供必要的设备；在供应方服务人员支持服务完成时，配合检查软件系统运行是否正常。确保有专人负责软件的 使用和管理，并建立相关制度，以确保软件运行环境(包括计算机、打印机及相关硬件设备)的安全，为软件正常运行提供保障。</w:t>
      </w:r>
    </w:p>
    <w:p w14:paraId="4E7C0466">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left"/>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三）供应方责任：供应方在需求方现场工作期间须遵守需求方的工作规章制度及信息保密制度；供应方未经需求方同意不得对需求方的硬件、网络设置进行更改；不得故意损坏需求方的硬件、网络设备及办公设备；对于不影响医院业务正常运作的一般性故障，接到通知后供应方1小时内响应，4小时内提供故障原因说明和解决办法，如果可以后台数据库维护修正的在8小时内完成；对于影响医院业务正常运作的严重故障，接到通知后供应方30分钟内响应，1小时内提供解决方案，如果需要现场解决的，供应方5小时内到达现场。</w:t>
      </w:r>
    </w:p>
    <w:p w14:paraId="17E073DE">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（四）违约：供应方未按要求履行合同义务时，需求方有权拒绝验收，且供应方须向需求方支付合同总额10% 的违约金，但由于需求方本身原因导致供应方未按要求履行合同义务除外；需求方</w:t>
      </w:r>
      <w:bookmarkStart w:id="0" w:name="_GoBack"/>
      <w:bookmarkEnd w:id="0"/>
      <w:r>
        <w:rPr>
          <w:rFonts w:hint="eastAsia" w:ascii="仿宋" w:hAnsi="仿宋" w:eastAsia="仿宋" w:cs="仿宋"/>
          <w:i w:val="0"/>
          <w:iCs w:val="0"/>
          <w:caps w:val="0"/>
          <w:color w:val="000000"/>
          <w:spacing w:val="0"/>
          <w:sz w:val="32"/>
          <w:szCs w:val="32"/>
          <w:shd w:val="clear" w:fill="FFFFFF"/>
          <w:lang w:val="en-US" w:eastAsia="zh-CN"/>
        </w:rPr>
        <w:t>未按要求履行合同义务时，且无正当理由拖延付款时，需求方须向供应方支付滞纳金，标准为每日按违约总额的0.03%。累计违约金额不超过合同总额10%；其它违约责任按《中华人民共和国民法典》处理。</w:t>
      </w:r>
    </w:p>
    <w:p w14:paraId="0A4E6CB6">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0" w:afterAutospacing="0" w:line="566" w:lineRule="exact"/>
        <w:ind w:left="0" w:leftChars="0" w:right="0" w:rightChars="0" w:firstLine="640" w:firstLineChars="200"/>
        <w:jc w:val="left"/>
        <w:textAlignment w:val="auto"/>
        <w:rPr>
          <w:rFonts w:hint="default" w:ascii="仿宋" w:hAnsi="仿宋" w:eastAsia="仿宋" w:cs="仿宋"/>
          <w:i w:val="0"/>
          <w:iCs w:val="0"/>
          <w:caps w:val="0"/>
          <w:color w:val="000000"/>
          <w:spacing w:val="0"/>
          <w:sz w:val="32"/>
          <w:szCs w:val="32"/>
          <w:shd w:val="clear" w:fill="FFFFFF"/>
          <w:lang w:val="en-US" w:eastAsia="zh-CN"/>
        </w:rPr>
      </w:pPr>
    </w:p>
    <w:sectPr>
      <w:footerReference r:id="rId3" w:type="default"/>
      <w:type w:val="continuous"/>
      <w:pgSz w:w="11906" w:h="16838"/>
      <w:pgMar w:top="2098" w:right="1474" w:bottom="1984" w:left="1587" w:header="850" w:footer="1417"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AMGD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60F1E">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CC4257">
                          <w:pPr>
                            <w:pStyle w:val="5"/>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第</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页共</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NUMPAGES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CC4257">
                    <w:pPr>
                      <w:pStyle w:val="5"/>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第</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PAGE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4</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页共</w:t>
                    </w: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NUMPAGES  \* MERGEFORMAT </w:instrText>
                    </w:r>
                    <w:r>
                      <w:rPr>
                        <w:rFonts w:hint="default" w:ascii="Times New Roman" w:hAnsi="Times New Roman" w:eastAsia="仿宋" w:cs="Times New Roman"/>
                        <w:sz w:val="24"/>
                        <w:szCs w:val="24"/>
                      </w:rPr>
                      <w:fldChar w:fldCharType="separate"/>
                    </w:r>
                    <w:r>
                      <w:rPr>
                        <w:rFonts w:hint="default" w:ascii="Times New Roman" w:hAnsi="Times New Roman" w:eastAsia="仿宋" w:cs="Times New Roman"/>
                        <w:sz w:val="24"/>
                        <w:szCs w:val="24"/>
                      </w:rPr>
                      <w:t>7</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FC4032"/>
    <w:multiLevelType w:val="multilevel"/>
    <w:tmpl w:val="61FC4032"/>
    <w:lvl w:ilvl="0" w:tentative="0">
      <w:start w:val="1"/>
      <w:numFmt w:val="chineseCountingThousand"/>
      <w:pStyle w:val="2"/>
      <w:suff w:val="space"/>
      <w:lvlText w:val="%1、"/>
      <w:lvlJc w:val="left"/>
      <w:pPr>
        <w:ind w:left="2984" w:hanging="432"/>
      </w:pPr>
      <w:rPr>
        <w:rFonts w:hint="eastAsia" w:ascii="宋体" w:hAnsi="宋体" w:eastAsia="宋体" w:cs="Times New Roman"/>
      </w:rPr>
    </w:lvl>
    <w:lvl w:ilvl="1" w:tentative="0">
      <w:start w:val="1"/>
      <w:numFmt w:val="decimal"/>
      <w:isLgl/>
      <w:suff w:val="space"/>
      <w:lvlText w:val="%1.%2"/>
      <w:lvlJc w:val="left"/>
      <w:pPr>
        <w:ind w:left="3128" w:hanging="576"/>
      </w:pPr>
      <w:rPr>
        <w:rFonts w:hint="eastAsia" w:ascii="宋体" w:hAnsi="宋体" w:eastAsia="宋体" w:cs="Times New Roman"/>
      </w:rPr>
    </w:lvl>
    <w:lvl w:ilvl="2" w:tentative="0">
      <w:start w:val="1"/>
      <w:numFmt w:val="decimal"/>
      <w:isLgl/>
      <w:suff w:val="space"/>
      <w:lvlText w:val="%1.%2.%3"/>
      <w:lvlJc w:val="left"/>
      <w:pPr>
        <w:ind w:left="3272" w:hanging="720"/>
      </w:pPr>
      <w:rPr>
        <w:rFonts w:hint="eastAsia" w:ascii="宋体" w:hAnsi="Calibri Light" w:eastAsia="宋体" w:cs="Calibri Light"/>
      </w:rPr>
    </w:lvl>
    <w:lvl w:ilvl="3" w:tentative="0">
      <w:start w:val="1"/>
      <w:numFmt w:val="decimal"/>
      <w:isLgl/>
      <w:suff w:val="space"/>
      <w:lvlText w:val="%1.%2.%3.%4"/>
      <w:lvlJc w:val="left"/>
      <w:pPr>
        <w:ind w:left="3416" w:hanging="864"/>
      </w:pPr>
      <w:rPr>
        <w:rFonts w:hint="eastAsia" w:ascii="宋体" w:eastAsia="宋体" w:cs="Times New Roman"/>
      </w:rPr>
    </w:lvl>
    <w:lvl w:ilvl="4" w:tentative="0">
      <w:start w:val="1"/>
      <w:numFmt w:val="decimal"/>
      <w:isLgl/>
      <w:suff w:val="space"/>
      <w:lvlText w:val="%1.%2.%3.%4.%5"/>
      <w:lvlJc w:val="left"/>
      <w:pPr>
        <w:ind w:left="3560" w:hanging="1008"/>
      </w:pPr>
      <w:rPr>
        <w:rFonts w:hint="eastAsia" w:ascii="宋体" w:hAnsi="Calibri Light" w:eastAsia="宋体" w:cs="Calibri Light"/>
      </w:rPr>
    </w:lvl>
    <w:lvl w:ilvl="5" w:tentative="0">
      <w:start w:val="1"/>
      <w:numFmt w:val="decimal"/>
      <w:isLgl/>
      <w:suff w:val="space"/>
      <w:lvlText w:val="%1.%2.%3.%4.%5.%6"/>
      <w:lvlJc w:val="left"/>
      <w:pPr>
        <w:ind w:left="3704" w:hanging="1152"/>
      </w:pPr>
      <w:rPr>
        <w:rFonts w:hint="eastAsia" w:ascii="宋体" w:eastAsia="宋体" w:cs="Times New Roman"/>
      </w:rPr>
    </w:lvl>
    <w:lvl w:ilvl="6" w:tentative="0">
      <w:start w:val="1"/>
      <w:numFmt w:val="decimal"/>
      <w:isLgl/>
      <w:suff w:val="space"/>
      <w:lvlText w:val="%1.%2.%3.%4.%5.%6.%7"/>
      <w:lvlJc w:val="left"/>
      <w:pPr>
        <w:ind w:left="3848" w:hanging="1296"/>
      </w:pPr>
      <w:rPr>
        <w:rFonts w:hint="eastAsia" w:ascii="宋体" w:hAnsi="Calibri Light" w:eastAsia="宋体" w:cs="Calibri Light"/>
      </w:rPr>
    </w:lvl>
    <w:lvl w:ilvl="7" w:tentative="0">
      <w:start w:val="1"/>
      <w:numFmt w:val="decimal"/>
      <w:isLgl/>
      <w:suff w:val="space"/>
      <w:lvlText w:val="%1.%2.%3.%4.%5.%6.%7.%8"/>
      <w:lvlJc w:val="left"/>
      <w:pPr>
        <w:ind w:left="3992" w:hanging="1440"/>
      </w:pPr>
      <w:rPr>
        <w:rFonts w:hint="eastAsia" w:ascii="宋体" w:eastAsia="宋体" w:cs="Times New Roman"/>
      </w:rPr>
    </w:lvl>
    <w:lvl w:ilvl="8" w:tentative="0">
      <w:start w:val="1"/>
      <w:numFmt w:val="decimal"/>
      <w:isLgl/>
      <w:suff w:val="space"/>
      <w:lvlText w:val="%1.%2.%3.%4.%5.%6.%7.%8.%9"/>
      <w:lvlJc w:val="left"/>
      <w:pPr>
        <w:ind w:left="4136" w:hanging="1584"/>
      </w:pPr>
      <w:rPr>
        <w:rFonts w:hint="eastAsia" w:ascii="宋体" w:eastAsia="宋体"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4NGMzNDg3MmQ5YjQ5YmFlZmEyMGQzY2JhNzhjODYifQ=="/>
  </w:docVars>
  <w:rsids>
    <w:rsidRoot w:val="00000000"/>
    <w:rsid w:val="076540E1"/>
    <w:rsid w:val="0EC82A4F"/>
    <w:rsid w:val="1C7C6848"/>
    <w:rsid w:val="2A7523C5"/>
    <w:rsid w:val="2ADF2906"/>
    <w:rsid w:val="2BFD373B"/>
    <w:rsid w:val="34AA1109"/>
    <w:rsid w:val="4C292230"/>
    <w:rsid w:val="4C3630B2"/>
    <w:rsid w:val="518F061F"/>
    <w:rsid w:val="56195771"/>
    <w:rsid w:val="5C5E674A"/>
    <w:rsid w:val="62FD6392"/>
    <w:rsid w:val="70264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widowControl/>
      <w:numPr>
        <w:ilvl w:val="0"/>
        <w:numId w:val="1"/>
      </w:numPr>
      <w:spacing w:before="340" w:after="330"/>
      <w:jc w:val="center"/>
      <w:outlineLvl w:val="0"/>
    </w:pPr>
    <w:rPr>
      <w:b/>
      <w:bCs/>
      <w:kern w:val="44"/>
      <w:sz w:val="44"/>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First Indent 2"/>
    <w:basedOn w:val="4"/>
    <w:qFormat/>
    <w:uiPriority w:val="0"/>
    <w:pPr>
      <w:ind w:firstLine="200" w:firstLineChars="200"/>
      <w:jc w:val="left"/>
    </w:pPr>
    <w:rPr>
      <w:rFonts w:ascii="宋体" w:hAnsi="宋体"/>
    </w:rPr>
  </w:style>
  <w:style w:type="paragraph" w:styleId="4">
    <w:name w:val="Body Text Indent"/>
    <w:basedOn w:val="1"/>
    <w:qFormat/>
    <w:uiPriority w:val="99"/>
    <w:pPr>
      <w:spacing w:line="360" w:lineRule="auto"/>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customStyle="1" w:styleId="12">
    <w:name w:val="Table Text"/>
    <w:basedOn w:val="1"/>
    <w:semiHidden/>
    <w:qFormat/>
    <w:uiPriority w:val="0"/>
    <w:rPr>
      <w:rFonts w:ascii="宋体" w:hAnsi="宋体" w:eastAsia="宋体" w:cs="宋体"/>
      <w:sz w:val="25"/>
      <w:szCs w:val="25"/>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1637</Words>
  <Characters>1695</Characters>
  <Lines>0</Lines>
  <Paragraphs>0</Paragraphs>
  <TotalTime>943</TotalTime>
  <ScaleCrop>false</ScaleCrop>
  <LinksUpToDate>false</LinksUpToDate>
  <CharactersWithSpaces>1702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2024-08-06T03:20:00Z</dcterms:created>
  <dc:creator>HHH</dc:creator>
  <cp:lastModifiedBy>殷智勇</cp:lastModifiedBy>
  <cp:lastPrinted>2024-08-06T08:35:00Z</cp:lastPrinted>
  <dcterms:modified xsi:type="dcterms:W3CDTF">2024-08-13T02:06:35Z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7A651CD2856446A99C84796F7DA1B507_13</vt:lpwstr>
  </property>
</Properties>
</file>